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Garamond" w:hAnsi="Garamond"/>
        </w:rPr>
      </w:pPr>
      <w:r>
        <w:rPr>
          <w:rFonts w:ascii="Garamond" w:hAnsi="Garamond"/>
        </w:rPr>
        <w:t>ENG 3080J</w:t>
      </w:r>
    </w:p>
    <w:p>
      <w:pPr>
        <w:rPr>
          <w:rFonts w:ascii="Garamond" w:hAnsi="Garamond"/>
        </w:rPr>
      </w:pPr>
      <w:r>
        <w:rPr>
          <w:rFonts w:ascii="Garamond" w:hAnsi="Garamond"/>
        </w:rPr>
        <w:t>Hollis</w:t>
      </w:r>
    </w:p>
    <w:p>
      <w:pPr>
        <w:rPr>
          <w:rFonts w:ascii="Garamond" w:hAnsi="Garamond"/>
        </w:rPr>
      </w:pPr>
      <w:r>
        <w:rPr>
          <w:rFonts w:ascii="Garamond" w:hAnsi="Garamond"/>
        </w:rPr>
        <w:t>Spring 2020</w:t>
      </w:r>
    </w:p>
    <w:p>
      <w:pPr>
        <w:jc w:val="center"/>
        <w:rPr>
          <w:rFonts w:ascii="Garamond" w:hAnsi="Garamond"/>
        </w:rPr>
      </w:pPr>
      <w:r>
        <w:rPr>
          <w:rFonts w:ascii="Garamond" w:hAnsi="Garamond"/>
        </w:rPr>
        <w:t>Living Through An Apocalypse: Reflection</w:t>
      </w:r>
    </w:p>
    <w:p>
      <w:pPr>
        <w:jc w:val="center"/>
        <w:rPr>
          <w:rFonts w:ascii="Garamond" w:hAnsi="Garamond"/>
        </w:rPr>
      </w:pPr>
    </w:p>
    <w:p>
      <w:pPr>
        <w:rPr>
          <w:rFonts w:ascii="Garamond" w:hAnsi="Garamond"/>
        </w:rPr>
      </w:pPr>
      <w:r>
        <w:rPr>
          <w:rFonts w:ascii="Garamond" w:hAnsi="Garamond"/>
        </w:rPr>
        <w:t xml:space="preserve">You probably have seen the numerous stories that suggest our world will not return to its former normalcy once the current crisis is over.  In this sense, the Covid-19 pandemic fits with one of James Berger’s definitions of apocalypse.  So, for this final essay, you will use the “apocalyptic” event covered in your research project and what you discovered about that event as a way to reflect on our current situation of living through a pandemic.  How you approach this is entirely up to you; let your own thinking and interest guide you:  </w:t>
      </w:r>
    </w:p>
    <w:p>
      <w:pPr>
        <w:ind w:left="810"/>
        <w:rPr>
          <w:rFonts w:ascii="Garamond" w:hAnsi="Garamond"/>
        </w:rPr>
      </w:pPr>
    </w:p>
    <w:p>
      <w:pPr>
        <w:pStyle w:val="5"/>
        <w:numPr>
          <w:ilvl w:val="0"/>
          <w:numId w:val="1"/>
        </w:numPr>
        <w:ind w:left="450"/>
        <w:rPr>
          <w:rFonts w:ascii="Garamond" w:hAnsi="Garamond"/>
        </w:rPr>
      </w:pPr>
      <w:r>
        <w:rPr>
          <w:rFonts w:ascii="Garamond" w:hAnsi="Garamond"/>
        </w:rPr>
        <w:t>You may find that your research led you to make very specific connections between then and now.</w:t>
      </w:r>
      <w:r>
        <w:rPr>
          <w:rFonts w:ascii="Garamond" w:hAnsi="Garamond"/>
          <w:u w:val="single"/>
        </w:rPr>
        <w:t xml:space="preserve"> Example</w:t>
      </w:r>
      <w:r>
        <w:rPr>
          <w:rFonts w:ascii="Garamond" w:hAnsi="Garamond"/>
        </w:rPr>
        <w:t xml:space="preserve">: it’s mind boggling that dangerous bogus cures, like drinking bleach to cure or prevent Covid-19 are circulating today, much like they did in the 1665 response to the London plague. </w:t>
      </w:r>
    </w:p>
    <w:p>
      <w:pPr>
        <w:ind w:left="450"/>
        <w:rPr>
          <w:rFonts w:ascii="Garamond" w:hAnsi="Garamond"/>
        </w:rPr>
      </w:pPr>
    </w:p>
    <w:p>
      <w:pPr>
        <w:pStyle w:val="5"/>
        <w:numPr>
          <w:ilvl w:val="0"/>
          <w:numId w:val="1"/>
        </w:numPr>
        <w:ind w:left="450"/>
        <w:rPr>
          <w:rFonts w:ascii="Garamond" w:hAnsi="Garamond"/>
        </w:rPr>
      </w:pPr>
      <w:r>
        <w:rPr>
          <w:rFonts w:ascii="Garamond" w:hAnsi="Garamond"/>
        </w:rPr>
        <w:t xml:space="preserve">Or, you may find that your research led you to more philosophical reflections. </w:t>
      </w:r>
      <w:r>
        <w:rPr>
          <w:rFonts w:ascii="Garamond" w:hAnsi="Garamond"/>
          <w:u w:val="single"/>
        </w:rPr>
        <w:t>Example:</w:t>
      </w:r>
      <w:r>
        <w:rPr>
          <w:rFonts w:ascii="Garamond" w:hAnsi="Garamond"/>
        </w:rPr>
        <w:t xml:space="preserve"> Daniel Defoe’s narrator finds himself incapable of staying home during the plague outbreak. However, also realizes that his forays out in the city endanger himself and possibly others. This admission has made me reflect on not just how my own staying put contributes to the safety of myself and others, but on how it might have other, broader and long-term benefits. </w:t>
      </w:r>
    </w:p>
    <w:p>
      <w:pPr>
        <w:ind w:left="450"/>
        <w:rPr>
          <w:rFonts w:ascii="Garamond" w:hAnsi="Garamond"/>
        </w:rPr>
      </w:pPr>
    </w:p>
    <w:p>
      <w:pPr>
        <w:pStyle w:val="5"/>
        <w:numPr>
          <w:ilvl w:val="0"/>
          <w:numId w:val="1"/>
        </w:numPr>
        <w:ind w:left="450"/>
        <w:rPr>
          <w:rFonts w:ascii="Garamond" w:hAnsi="Garamond"/>
        </w:rPr>
      </w:pPr>
      <w:r>
        <w:rPr>
          <w:rFonts w:ascii="Garamond" w:hAnsi="Garamond"/>
        </w:rPr>
        <w:t xml:space="preserve">Or, you may find your approach is somewhere in between. </w:t>
      </w:r>
    </w:p>
    <w:p>
      <w:pPr>
        <w:rPr>
          <w:rFonts w:ascii="Garamond" w:hAnsi="Garamond"/>
        </w:rPr>
      </w:pPr>
    </w:p>
    <w:p>
      <w:pPr>
        <w:rPr>
          <w:rFonts w:ascii="Garamond" w:hAnsi="Garamond"/>
        </w:rPr>
      </w:pPr>
      <w:r>
        <w:rPr>
          <w:rFonts w:ascii="Garamond" w:hAnsi="Garamond"/>
        </w:rPr>
        <w:t xml:space="preserve">Your discussion </w:t>
      </w:r>
      <w:r>
        <w:rPr>
          <w:rFonts w:ascii="Garamond" w:hAnsi="Garamond"/>
          <w:b/>
          <w:bCs/>
        </w:rPr>
        <w:t>can range in terms of</w:t>
      </w:r>
      <w:r>
        <w:rPr>
          <w:rFonts w:ascii="Garamond" w:hAnsi="Garamond"/>
        </w:rPr>
        <w:t xml:space="preserve"> </w:t>
      </w:r>
      <w:r>
        <w:rPr>
          <w:rFonts w:ascii="Garamond" w:hAnsi="Garamond"/>
          <w:b/>
          <w:bCs/>
        </w:rPr>
        <w:t>content</w:t>
      </w:r>
      <w:r>
        <w:rPr>
          <w:rFonts w:ascii="Garamond" w:hAnsi="Garamond"/>
        </w:rPr>
        <w:t xml:space="preserve"> from</w:t>
      </w:r>
    </w:p>
    <w:p>
      <w:pPr>
        <w:ind w:left="360"/>
        <w:rPr>
          <w:rFonts w:ascii="Garamond" w:hAnsi="Garamond"/>
        </w:rPr>
      </w:pPr>
    </w:p>
    <w:p>
      <w:pPr>
        <w:ind w:left="360"/>
        <w:rPr>
          <w:rFonts w:ascii="Garamond" w:hAnsi="Garamond"/>
          <w:b/>
          <w:bCs/>
        </w:rPr>
      </w:pPr>
      <w:r>
        <w:rPr>
          <w:rFonts w:ascii="Garamond" w:hAnsi="Garamond"/>
        </w:rPr>
        <w:t xml:space="preserve">using your research on the prior event as a jumping off place to consider our current moment more extensively </w:t>
      </w:r>
      <w:r>
        <w:rPr>
          <w:rFonts w:ascii="Garamond" w:hAnsi="Garamond"/>
          <w:b/>
          <w:bCs/>
        </w:rPr>
        <w:t>TO</w:t>
      </w:r>
    </w:p>
    <w:p>
      <w:pPr>
        <w:ind w:left="360"/>
        <w:rPr>
          <w:rFonts w:ascii="Garamond" w:hAnsi="Garamond"/>
        </w:rPr>
      </w:pPr>
    </w:p>
    <w:p>
      <w:pPr>
        <w:ind w:left="360"/>
        <w:rPr>
          <w:rFonts w:ascii="Garamond" w:hAnsi="Garamond"/>
        </w:rPr>
      </w:pPr>
      <w:r>
        <w:rPr>
          <w:rFonts w:ascii="Garamond" w:hAnsi="Garamond"/>
        </w:rPr>
        <w:t>continually moving back and forth between the two events to reflect on a particular idea.</w:t>
      </w:r>
    </w:p>
    <w:p>
      <w:pPr>
        <w:ind w:left="720"/>
        <w:rPr>
          <w:rFonts w:ascii="Garamond" w:hAnsi="Garamond"/>
        </w:rPr>
      </w:pPr>
    </w:p>
    <w:p>
      <w:pPr>
        <w:rPr>
          <w:rFonts w:ascii="Garamond" w:hAnsi="Garamond"/>
          <w:b/>
          <w:bCs/>
        </w:rPr>
      </w:pPr>
    </w:p>
    <w:p>
      <w:pPr>
        <w:rPr>
          <w:rFonts w:ascii="Garamond" w:hAnsi="Garamond"/>
        </w:rPr>
      </w:pPr>
      <w:r>
        <w:rPr>
          <w:rFonts w:ascii="Garamond" w:hAnsi="Garamond"/>
          <w:b/>
          <w:bCs/>
        </w:rPr>
        <w:t xml:space="preserve">Continuity/Center of gravity: </w:t>
      </w:r>
      <w:r>
        <w:rPr>
          <w:rFonts w:ascii="Garamond" w:hAnsi="Garamond"/>
        </w:rPr>
        <w:t xml:space="preserve">Unlike previous essays, this one does not require as specific a focal point nor even that you make this clear at the beginning of the discussion. However, the discussion should not be a list of isolated observations.  If you find your mind moving between ideas, find a way to express how you think that movement occurs.  </w:t>
      </w:r>
    </w:p>
    <w:p>
      <w:pPr>
        <w:rPr>
          <w:rFonts w:ascii="Garamond" w:hAnsi="Garamond"/>
        </w:rPr>
      </w:pPr>
    </w:p>
    <w:p>
      <w:pPr>
        <w:ind w:left="630"/>
        <w:rPr>
          <w:rFonts w:ascii="Garamond" w:hAnsi="Garamond"/>
        </w:rPr>
      </w:pPr>
      <w:r>
        <w:rPr>
          <w:rFonts w:ascii="Garamond" w:hAnsi="Garamond"/>
        </w:rPr>
        <w:t>Example: Rather than saying “that makes me think of” and move onto a different idea, you could say something like “I find the belief in some “origins” of Covid -19 just as mindboggling as the faith in these cures.” [</w:t>
      </w:r>
      <w:r>
        <w:rPr>
          <w:rFonts w:ascii="Garamond" w:hAnsi="Garamond"/>
          <w:i/>
          <w:iCs/>
        </w:rPr>
        <w:t>Here, I switch from a focus on cures to a focus on “conspiracy” origins. But you’ll notice the connection is belief or faith.</w:t>
      </w:r>
      <w:r>
        <w:rPr>
          <w:rFonts w:ascii="Garamond" w:hAnsi="Garamond"/>
        </w:rPr>
        <w:t xml:space="preserve">]  </w:t>
      </w:r>
    </w:p>
    <w:p>
      <w:pPr>
        <w:rPr>
          <w:rFonts w:ascii="Garamond" w:hAnsi="Garamond"/>
          <w:b/>
          <w:bCs/>
        </w:rPr>
      </w:pPr>
    </w:p>
    <w:p>
      <w:pPr>
        <w:rPr>
          <w:rFonts w:ascii="Garamond" w:hAnsi="Garamond"/>
        </w:rPr>
      </w:pPr>
      <w:r>
        <w:rPr>
          <w:rFonts w:ascii="Garamond" w:hAnsi="Garamond"/>
          <w:b/>
        </w:rPr>
        <w:t>Format:</w:t>
      </w:r>
      <w:r>
        <w:rPr>
          <w:rFonts w:ascii="Garamond" w:hAnsi="Garamond"/>
        </w:rPr>
        <w:t xml:space="preserve"> You may make this a purely traditional, word-based essay or you may include other media from your research project or coverage of our current crisis.</w:t>
      </w:r>
    </w:p>
    <w:p>
      <w:pPr>
        <w:rPr>
          <w:rFonts w:ascii="Garamond" w:hAnsi="Garamond"/>
        </w:rPr>
      </w:pPr>
    </w:p>
    <w:p>
      <w:pPr>
        <w:rPr>
          <w:rFonts w:ascii="Garamond" w:hAnsi="Garamond"/>
        </w:rPr>
      </w:pPr>
      <w:r>
        <w:rPr>
          <w:rFonts w:ascii="Garamond" w:hAnsi="Garamond"/>
          <w:b/>
          <w:bCs/>
        </w:rPr>
        <w:t>Source Requirements</w:t>
      </w:r>
      <w:r>
        <w:rPr>
          <w:rFonts w:ascii="Garamond" w:hAnsi="Garamond"/>
        </w:rPr>
        <w:t xml:space="preserve">: None required, but you will need to link your own reflections back to the research project; thus, you will need to refer to some of those sources if only informally. </w:t>
      </w:r>
    </w:p>
    <w:p>
      <w:pPr>
        <w:rPr>
          <w:rFonts w:ascii="Garamond" w:hAnsi="Garamond"/>
        </w:rPr>
      </w:pPr>
    </w:p>
    <w:p>
      <w:pPr>
        <w:rPr>
          <w:rFonts w:ascii="Garamond" w:hAnsi="Garamond"/>
        </w:rPr>
      </w:pPr>
    </w:p>
    <w:p>
      <w:pPr>
        <w:ind w:left="630"/>
        <w:jc w:val="right"/>
        <w:rPr>
          <w:rFonts w:ascii="Garamond" w:hAnsi="Garamond"/>
          <w:b/>
          <w:bCs/>
          <w:i/>
          <w:iCs/>
        </w:rPr>
      </w:pPr>
      <w:r>
        <w:rPr>
          <w:rFonts w:ascii="Garamond" w:hAnsi="Garamond"/>
          <w:b/>
          <w:bCs/>
          <w:i/>
          <w:iCs/>
        </w:rPr>
        <w:t>(over&gt;&gt;&gt;)</w:t>
      </w:r>
    </w:p>
    <w:p>
      <w:pPr>
        <w:jc w:val="right"/>
        <w:rPr>
          <w:rFonts w:ascii="Garamond" w:hAnsi="Garamond"/>
          <w:i/>
          <w:iCs/>
        </w:rPr>
      </w:pPr>
    </w:p>
    <w:p>
      <w:pPr>
        <w:rPr>
          <w:rFonts w:ascii="Garamond" w:hAnsi="Garamond"/>
        </w:rPr>
      </w:pPr>
    </w:p>
    <w:p>
      <w:pPr>
        <w:rPr>
          <w:rFonts w:ascii="Garamond" w:hAnsi="Garamond"/>
        </w:rPr>
      </w:pPr>
      <w:r>
        <w:rPr>
          <w:rFonts w:ascii="Garamond" w:hAnsi="Garamond"/>
          <w:b/>
          <w:bCs/>
        </w:rPr>
        <w:t>Documentation</w:t>
      </w:r>
      <w:r>
        <w:rPr>
          <w:rFonts w:ascii="Garamond" w:hAnsi="Garamond"/>
        </w:rPr>
        <w:t xml:space="preserve">:  You do not need to use formal documentation, but you should identify in text any sources that you cull information from. For example, if I were reflecting on how </w:t>
      </w:r>
      <w:r>
        <w:rPr>
          <w:rFonts w:ascii="Garamond" w:hAnsi="Garamond"/>
          <w:u w:val="single"/>
        </w:rPr>
        <w:t>media coverage</w:t>
      </w:r>
      <w:r>
        <w:rPr>
          <w:rFonts w:ascii="Garamond" w:hAnsi="Garamond"/>
        </w:rPr>
        <w:t xml:space="preserve"> of the “official” death totals from Covid-19 reflects that of the 1666 London plague, I might write.</w:t>
      </w:r>
    </w:p>
    <w:p>
      <w:pPr>
        <w:rPr>
          <w:rFonts w:ascii="Garamond" w:hAnsi="Garamond"/>
        </w:rPr>
      </w:pPr>
    </w:p>
    <w:p>
      <w:pPr>
        <w:ind w:left="630"/>
        <w:rPr>
          <w:rFonts w:ascii="Garamond" w:hAnsi="Garamond"/>
        </w:rPr>
      </w:pPr>
      <w:r>
        <w:rPr>
          <w:rFonts w:ascii="Garamond" w:hAnsi="Garamond"/>
        </w:rPr>
        <w:t xml:space="preserve">A recent article from </w:t>
      </w:r>
      <w:r>
        <w:rPr>
          <w:rFonts w:ascii="Garamond" w:hAnsi="Garamond"/>
          <w:i/>
          <w:iCs/>
        </w:rPr>
        <w:t>Propublica.com</w:t>
      </w:r>
      <w:r>
        <w:rPr>
          <w:rFonts w:ascii="Garamond" w:hAnsi="Garamond"/>
        </w:rPr>
        <w:t xml:space="preserve"> asserts that even death totals from the Center of Disease Control, arguably the most reliable source for such information, is “vulnerable to error” because of the mass data being collect very quickly from numerous sources. In 1665, those “official” totals came from one source, The Bills of Mortality, but the speculation about inaccuracy was still there. </w:t>
      </w:r>
    </w:p>
    <w:p>
      <w:pPr>
        <w:ind w:left="630"/>
        <w:rPr>
          <w:rFonts w:ascii="Garamond" w:hAnsi="Garamond"/>
        </w:rPr>
      </w:pPr>
    </w:p>
    <w:p>
      <w:pPr>
        <w:rPr>
          <w:rFonts w:ascii="Garamond" w:hAnsi="Garamond"/>
          <w:b/>
        </w:rPr>
      </w:pPr>
    </w:p>
    <w:p>
      <w:pPr>
        <w:rPr>
          <w:rFonts w:ascii="Garamond" w:hAnsi="Garamond"/>
        </w:rPr>
      </w:pPr>
      <w:r>
        <w:rPr>
          <w:rFonts w:ascii="Garamond" w:hAnsi="Garamond"/>
          <w:b/>
        </w:rPr>
        <w:t>Length</w:t>
      </w:r>
      <w:r>
        <w:rPr>
          <w:rFonts w:ascii="Garamond" w:hAnsi="Garamond"/>
        </w:rPr>
        <w:t>:</w:t>
      </w:r>
    </w:p>
    <w:p>
      <w:pPr>
        <w:ind w:firstLine="720"/>
        <w:rPr>
          <w:rFonts w:ascii="Garamond" w:hAnsi="Garamond"/>
        </w:rPr>
      </w:pPr>
    </w:p>
    <w:p>
      <w:pPr>
        <w:ind w:firstLine="720"/>
        <w:rPr>
          <w:rFonts w:ascii="Garamond" w:hAnsi="Garamond"/>
        </w:rPr>
      </w:pPr>
      <w:r>
        <w:rPr>
          <w:rFonts w:ascii="Garamond" w:hAnsi="Garamond"/>
          <w:u w:val="single"/>
        </w:rPr>
        <w:t>For traditional word-based essays</w:t>
      </w:r>
      <w:r>
        <w:rPr>
          <w:rFonts w:ascii="Garamond" w:hAnsi="Garamond"/>
        </w:rPr>
        <w:t>:  at least 900 words (can be longer)</w:t>
      </w:r>
    </w:p>
    <w:p>
      <w:pPr>
        <w:ind w:left="720"/>
        <w:rPr>
          <w:rFonts w:ascii="Garamond" w:hAnsi="Garamond"/>
        </w:rPr>
      </w:pPr>
    </w:p>
    <w:p>
      <w:pPr>
        <w:ind w:left="720"/>
        <w:rPr>
          <w:rFonts w:ascii="Garamond" w:hAnsi="Garamond"/>
        </w:rPr>
      </w:pPr>
      <w:r>
        <w:rPr>
          <w:rFonts w:ascii="Garamond" w:hAnsi="Garamond"/>
          <w:u w:val="single"/>
        </w:rPr>
        <w:t>For multi-media essays</w:t>
      </w:r>
      <w:r>
        <w:rPr>
          <w:rFonts w:ascii="Garamond" w:hAnsi="Garamond"/>
        </w:rPr>
        <w:t xml:space="preserve">: again, this is difficult to determine. However, how you are using the materials to reflect on the past and present should be made clear by </w:t>
      </w:r>
      <w:r>
        <w:rPr>
          <w:rFonts w:ascii="Garamond" w:hAnsi="Garamond"/>
          <w:u w:val="single"/>
        </w:rPr>
        <w:t>your own written words (if you want to narrate a slide show or video you create, then please provide a transcription of the narration)</w:t>
      </w:r>
      <w:r>
        <w:rPr>
          <w:rFonts w:ascii="Garamond" w:hAnsi="Garamond"/>
        </w:rPr>
        <w:t>.</w:t>
      </w:r>
    </w:p>
    <w:p>
      <w:pPr>
        <w:rPr>
          <w:rFonts w:ascii="Garamond" w:hAnsi="Garamond"/>
        </w:rPr>
      </w:pPr>
    </w:p>
    <w:p>
      <w:pPr>
        <w:rPr>
          <w:rFonts w:ascii="Garamond" w:hAnsi="Garamond"/>
        </w:rPr>
      </w:pPr>
    </w:p>
    <w:p>
      <w:pPr>
        <w:rPr>
          <w:rFonts w:ascii="Garamond" w:hAnsi="Garamond"/>
        </w:rPr>
      </w:pPr>
      <w:r>
        <w:rPr>
          <w:rFonts w:ascii="Garamond" w:hAnsi="Garamond"/>
          <w:b/>
        </w:rPr>
        <w:t xml:space="preserve">Due date: </w:t>
      </w:r>
      <w:r>
        <w:rPr>
          <w:rFonts w:ascii="Garamond" w:hAnsi="Garamond"/>
        </w:rPr>
        <w:t xml:space="preserve">Monday, April 27, 12:10 p.m. (end of the regular final exam time). </w:t>
      </w:r>
    </w:p>
    <w:p>
      <w:pPr>
        <w:ind w:firstLine="720"/>
        <w:rPr>
          <w:rFonts w:ascii="Garamond" w:hAnsi="Garamond"/>
        </w:rPr>
      </w:pPr>
    </w:p>
    <w:p>
      <w:pPr>
        <w:ind w:firstLine="720"/>
        <w:rPr>
          <w:rFonts w:ascii="Garamond" w:hAnsi="Garamond"/>
        </w:rPr>
      </w:pPr>
      <w:r>
        <w:rPr>
          <w:rFonts w:ascii="Garamond" w:hAnsi="Garamond"/>
          <w:b/>
          <w:bCs/>
        </w:rPr>
        <w:t>Traditional Word-based essays</w:t>
      </w:r>
      <w:r>
        <w:rPr>
          <w:rFonts w:ascii="Garamond" w:hAnsi="Garamond"/>
        </w:rPr>
        <w:t>: Upload to Blackboard as a Microsoft Word file</w:t>
      </w:r>
    </w:p>
    <w:p>
      <w:pPr>
        <w:ind w:left="720"/>
        <w:rPr>
          <w:rFonts w:ascii="Garamond" w:hAnsi="Garamond"/>
        </w:rPr>
      </w:pPr>
    </w:p>
    <w:p>
      <w:pPr>
        <w:ind w:left="720"/>
        <w:rPr>
          <w:rFonts w:ascii="Garamond" w:hAnsi="Garamond"/>
        </w:rPr>
      </w:pPr>
      <w:r>
        <w:rPr>
          <w:rFonts w:ascii="Garamond" w:hAnsi="Garamond"/>
          <w:b/>
          <w:bCs/>
        </w:rPr>
        <w:t>Multi-media essays</w:t>
      </w:r>
      <w:r>
        <w:rPr>
          <w:rFonts w:ascii="Garamond" w:hAnsi="Garamond"/>
        </w:rPr>
        <w:t>: Upload to Blackboard if possible; if not, share with me in some other way.</w:t>
      </w:r>
    </w:p>
    <w:p>
      <w:pPr>
        <w:rPr>
          <w:rFonts w:ascii="Garamond" w:hAnsi="Garamond"/>
        </w:rPr>
      </w:pPr>
    </w:p>
    <w:p>
      <w:pPr>
        <w:rPr>
          <w:rFonts w:ascii="Garamond" w:hAnsi="Garamond"/>
        </w:rPr>
      </w:pPr>
      <w:r>
        <w:rPr>
          <w:rFonts w:ascii="Garamond" w:hAnsi="Garamond"/>
        </w:rPr>
        <w:t xml:space="preserve">(Grading Rubric forthcoming) </w:t>
      </w:r>
    </w:p>
    <w:p>
      <w:pPr>
        <w:rPr>
          <w:rFonts w:hint="default" w:ascii="Garamond" w:hAnsi="Garamond"/>
          <w:lang w:val="en-US"/>
        </w:rPr>
      </w:pPr>
      <w:bookmarkStart w:id="0" w:name="_GoBack"/>
      <w:bookmarkEnd w:id="0"/>
    </w:p>
    <w:p>
      <w:pPr>
        <w:rPr>
          <w:rFonts w:hint="default" w:ascii="Garamond" w:hAnsi="Garamond"/>
          <w:lang w:val="en-US"/>
        </w:rPr>
      </w:pPr>
    </w:p>
    <w:p>
      <w:pPr>
        <w:rPr>
          <w:rFonts w:hint="default" w:ascii="Garamond" w:hAnsi="Garamond"/>
          <w:b/>
          <w:bCs/>
          <w:color w:val="FF0000"/>
          <w:lang w:val="en-US"/>
        </w:rPr>
      </w:pPr>
      <w:r>
        <w:rPr>
          <w:rFonts w:hint="default" w:ascii="Garamond" w:hAnsi="Garamond"/>
          <w:b/>
          <w:bCs/>
          <w:color w:val="FF0000"/>
          <w:lang w:val="en-US"/>
        </w:rPr>
        <w:t>Video instructions is here:</w:t>
      </w:r>
    </w:p>
    <w:p>
      <w:pPr>
        <w:ind w:firstLine="240" w:firstLineChars="100"/>
        <w:rPr>
          <w:rFonts w:ascii="SimSun" w:hAnsi="SimSun" w:eastAsia="SimSun" w:cs="SimSun"/>
          <w:sz w:val="24"/>
          <w:szCs w:val="24"/>
        </w:rPr>
      </w:pPr>
      <w:r>
        <w:rPr>
          <w:rFonts w:ascii="SimSun" w:hAnsi="SimSun" w:eastAsia="SimSun" w:cs="SimSun"/>
          <w:sz w:val="24"/>
          <w:szCs w:val="24"/>
        </w:rPr>
        <w:fldChar w:fldCharType="begin"/>
      </w:r>
      <w:r>
        <w:rPr>
          <w:rFonts w:ascii="SimSun" w:hAnsi="SimSun" w:eastAsia="SimSun" w:cs="SimSun"/>
          <w:sz w:val="24"/>
          <w:szCs w:val="24"/>
        </w:rPr>
        <w:instrText xml:space="preserve"> HYPERLINK "https://www.youtube.com/watch?v=juk-bK5Xtrk&amp;feature=youtu.be" </w:instrText>
      </w:r>
      <w:r>
        <w:rPr>
          <w:rFonts w:ascii="SimSun" w:hAnsi="SimSun" w:eastAsia="SimSun" w:cs="SimSun"/>
          <w:sz w:val="24"/>
          <w:szCs w:val="24"/>
        </w:rPr>
        <w:fldChar w:fldCharType="separate"/>
      </w:r>
      <w:r>
        <w:rPr>
          <w:rStyle w:val="4"/>
          <w:rFonts w:ascii="SimSun" w:hAnsi="SimSun" w:eastAsia="SimSun" w:cs="SimSun"/>
          <w:sz w:val="24"/>
          <w:szCs w:val="24"/>
        </w:rPr>
        <w:t>https://www.youtube.com/watch?v=juk-bK5Xtrk&amp;feature=youtu.be</w:t>
      </w:r>
      <w:r>
        <w:rPr>
          <w:rFonts w:ascii="SimSun" w:hAnsi="SimSun" w:eastAsia="SimSun" w:cs="SimSun"/>
          <w:sz w:val="24"/>
          <w:szCs w:val="24"/>
        </w:rPr>
        <w:fldChar w:fldCharType="end"/>
      </w:r>
    </w:p>
    <w:p>
      <w:pPr>
        <w:rPr>
          <w:rFonts w:ascii="SimSun" w:hAnsi="SimSun" w:eastAsia="SimSun" w:cs="SimSun"/>
          <w:sz w:val="24"/>
          <w:szCs w:val="24"/>
        </w:rPr>
      </w:pPr>
    </w:p>
    <w:p>
      <w:pPr>
        <w:rPr>
          <w:rFonts w:ascii="Garamond" w:hAnsi="Garamond"/>
        </w:rPr>
      </w:pPr>
    </w:p>
    <w:p>
      <w:pPr>
        <w:rPr>
          <w:rFonts w:ascii="Garamond" w:hAnsi="Garamond"/>
          <w:b/>
        </w:rPr>
      </w:pPr>
    </w:p>
    <w:p>
      <w:pPr>
        <w:rPr>
          <w:rFonts w:ascii="Garamond" w:hAnsi="Garamond"/>
          <w:b/>
        </w:rPr>
      </w:pPr>
    </w:p>
    <w:p/>
    <w:sectPr>
      <w:pgSz w:w="12240" w:h="15840"/>
      <w:pgMar w:top="720" w:right="1296" w:bottom="720" w:left="1296"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DengXian">
    <w:panose1 w:val="02010600030101010101"/>
    <w:charset w:val="86"/>
    <w:family w:val="auto"/>
    <w:pitch w:val="default"/>
    <w:sig w:usb0="A00002BF" w:usb1="38CF7CFA" w:usb2="00000016" w:usb3="00000000" w:csb0="0004000F" w:csb1="00000000"/>
  </w:font>
  <w:font w:name="Garamond">
    <w:altName w:val="PMingLiU-ExtB"/>
    <w:panose1 w:val="02020404030301010803"/>
    <w:charset w:val="00"/>
    <w:family w:val="roman"/>
    <w:pitch w:val="default"/>
    <w:sig w:usb0="00000000" w:usb1="00000000" w:usb2="00000000" w:usb3="00000000" w:csb0="0000009F"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decorative"/>
    <w:pitch w:val="default"/>
    <w:sig w:usb0="00000000" w:usb1="00000000" w:usb2="00000000" w:usb3="00000000" w:csb0="80000000" w:csb1="00000000"/>
  </w:font>
  <w:font w:name="Calibri">
    <w:panose1 w:val="020F0502020204030204"/>
    <w:charset w:val="00"/>
    <w:family w:val="auto"/>
    <w:pitch w:val="default"/>
    <w:sig w:usb0="E0002EFF" w:usb1="C000247B" w:usb2="00000009" w:usb3="00000000" w:csb0="200001FF" w:csb1="00000000"/>
  </w:font>
  <w:font w:name="PMingLiU-ExtB">
    <w:panose1 w:val="02020500000000000000"/>
    <w:charset w:val="88"/>
    <w:family w:val="auto"/>
    <w:pitch w:val="default"/>
    <w:sig w:usb0="8000002F" w:usb1="02000008" w:usb2="0000000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33199A"/>
    <w:multiLevelType w:val="multilevel"/>
    <w:tmpl w:val="3933199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F9C"/>
    <w:rsid w:val="001957AE"/>
    <w:rsid w:val="002C4E21"/>
    <w:rsid w:val="00347A98"/>
    <w:rsid w:val="0043312C"/>
    <w:rsid w:val="00550EB8"/>
    <w:rsid w:val="006645F1"/>
    <w:rsid w:val="00847BBC"/>
    <w:rsid w:val="00A21F9C"/>
    <w:rsid w:val="00B4615E"/>
    <w:rsid w:val="00BB0F94"/>
    <w:rsid w:val="00C12D5E"/>
    <w:rsid w:val="00C274DC"/>
    <w:rsid w:val="00C56025"/>
    <w:rsid w:val="00C91EBE"/>
    <w:rsid w:val="00DD772A"/>
    <w:rsid w:val="00E3083A"/>
    <w:rsid w:val="00E608F7"/>
    <w:rsid w:val="00FE1423"/>
    <w:rsid w:val="203E0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color w:val="auto"/>
      <w:spacing w:val="0"/>
      <w:sz w:val="24"/>
      <w:szCs w:val="24"/>
      <w:lang w:val="en-US"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Hyperlink"/>
    <w:basedOn w:val="3"/>
    <w:semiHidden/>
    <w:unhideWhenUsed/>
    <w:uiPriority w:val="99"/>
    <w:rPr>
      <w:color w:val="0000FF"/>
      <w:u w:val="single"/>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611</Words>
  <Characters>3485</Characters>
  <Lines>29</Lines>
  <Paragraphs>8</Paragraphs>
  <TotalTime>83</TotalTime>
  <ScaleCrop>false</ScaleCrop>
  <LinksUpToDate>false</LinksUpToDate>
  <CharactersWithSpaces>4088</CharactersWithSpaces>
  <Application>WPS Office_11.1.0.9341_F1E327BC-269C-435d-A152-05C5408002CA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2020-03-18T17:20:00Z</dcterms:created>
  <dc:creator>Hollis, Jessica</dc:creator>
  <cp:lastModifiedBy>  Bilippar.</cp:lastModifiedBy>
  <cp:lastPrinted>2020-04-15T17:18:00Z</cp:lastPrinted>
  <dcterms:modified xsi:type="dcterms:W3CDTF">2020-04-20T02:29:59Z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2052-11.1.0.9341</vt:lpwstr>
  </property>
</Properties>
</file>